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6"/>
        <w:contextualSpacing w:val="true"/>
        <w:jc w:val="center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Еженедельная информация о планируемых обработках посевов сельскохозяйственных культур пестицидами</w:t>
      </w:r>
      <w:r>
        <w:rPr>
          <w:rFonts w:ascii="PT Astra Serif" w:hAnsi="PT Astra Serif" w:eastAsia="Times New Roman"/>
          <w:b/>
          <w:bCs/>
          <w:sz w:val="28"/>
          <w:szCs w:val="28"/>
        </w:rPr>
      </w:r>
      <w:r/>
    </w:p>
    <w:p>
      <w:pPr>
        <w:pStyle w:val="556"/>
        <w:contextualSpacing w:val="true"/>
        <w:jc w:val="right"/>
        <w:spacing w:lineRule="auto" w:line="240"/>
      </w:pPr>
      <w:r>
        <w:rPr>
          <w:rFonts w:ascii="PT Astra Serif" w:hAnsi="PT Astra Serif" w:eastAsia="Times New Roman"/>
          <w:b/>
          <w:bCs/>
          <w:sz w:val="28"/>
          <w:szCs w:val="28"/>
        </w:rPr>
        <w:t xml:space="preserve">08-14.06.2020</w:t>
      </w:r>
      <w:r/>
    </w:p>
    <w:tbl>
      <w:tblPr>
        <w:tblW w:w="0" w:type="auto"/>
        <w:tblInd w:w="142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2409"/>
        <w:gridCol w:w="2461"/>
        <w:gridCol w:w="3452"/>
        <w:gridCol w:w="1924"/>
        <w:gridCol w:w="2430"/>
        <w:gridCol w:w="246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муниципального образования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61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с/х предприятия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52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Место расположения обрабатываемых полей и наименование с/х культуры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924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Планируемая дата обработки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430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Вид обработки</w:t>
            </w:r>
            <w:r/>
          </w:p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(наземная, авиационная)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textDirection w:val="lrTb"/>
            <w:noWrap w:val="false"/>
          </w:tcPr>
          <w:p>
            <w:pPr>
              <w:pStyle w:val="562"/>
              <w:jc w:val="center"/>
            </w:pPr>
            <w:r>
              <w:rPr>
                <w:rFonts w:ascii="PT Astra Serif" w:hAnsi="PT Astra Serif"/>
                <w:b/>
                <w:bCs/>
                <w:i w:val="false"/>
                <w:iCs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Наименование применяемого препарата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Барышский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«Агро-Инвест»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Г.Барыш, п,Красный Барыш, 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. Поповая Мельница, с. Чувашская Решётка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п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. Степановка, 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Алинкино, 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Малая Хомутерь, с. Новый Дол,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Старая Савадерка, п. Опытный,д. Новодольские Посёлки, Бар.Дурасовка,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р.п Старое Тимошкино,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Заречное,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Смольково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с. Живайкино, с. Кармалейка,д. Ульяновка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08.06.20-21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наземный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Инсектицид (полис)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баковая смесь  (тризлак, зерномакс, атрикс)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«Бифас» «Евролайтинг»,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Евролайтинг+»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 Ходов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Старое Тимошкино, с. Калда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-21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наземный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Гербицид (глидер 360)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«Батыр»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С.Старое Тимошкино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 – 21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.06.20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наземный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Гербицид (рауль)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Майнский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ООО «Полбино»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 Полбино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Балерина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Гимово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п.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Гимово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, 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Воецкое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Агростар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ООО «Колос»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п.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Безречный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Балерина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ООО «Лава-1»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 Поповка,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р.п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Игнатовка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Апричник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Китул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- 390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ООО «Агро-Альянс»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Уржумское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Балерина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ООО «СМД»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 Сосновка , 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Берёзовка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, с. Анненково –Лесное, 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Загоскино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, 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Репьёвка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Колхозная, 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Сущёвка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р.п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Игнатовка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Как – 32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Майнская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Агрокомпания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 Вязовка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, с. Ст. 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Матюнино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Колосаль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-про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КФХ «Козлов В.Д.»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 Тагай,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с.Копышовка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Торнадо-500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КФХ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ВолынщиковН.Н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 Подлесное, 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Копышовка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с.Черикеево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Балерина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КФХ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Бармотин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А.В.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 Вязовка,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с. Сосновка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Торнадо-500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КФХ «Дубёнки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Старые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Маклауши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, с.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 Новые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Маклауши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08.06.2020-14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  <w:t xml:space="preserve">Мортира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Николаевский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«СПП «Наша Родина»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Ячмень, лён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с.Никулино, с.Рызлей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Гербициды,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пестициды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Ячмень, лён, рапс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С.Чув.Сайман, с.Тат.Сайман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июня 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Гербициды,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пестициды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Лён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 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С.Ахметлей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июня 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Гербициды,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пестициды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«Капиталсервис»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Озимая пшеница, подсолнечник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С.Телятниково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8 июня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Наземное и авиацией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Галактион, Альтерр, Органза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Озимая пшеница, подсолнечник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С.Прасковьино, Крутец, с.Канадей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8 июня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Наземное и авиацией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Галактион, Альтерр, Органза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Озимая пшеница, подсолнечник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Кезьмино,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Кравково, с.Каранино, с.Головино,  с.Тепловка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8 июня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Наземное и авиацией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Галактион, Альтерр, Органза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Озимая пшеница, подсолнечник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С.Куроедово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8 июня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Наземное и авиацией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Галактион, Альтерр, Органза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«СП Агро»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Оз. пшеница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С.Чув.Сайман С.Ахметлей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С.Б.Чирклей,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С.Никулино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С.Тат.Сайман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30 мая по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12 июня 2020 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Химстар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 ГКФХ Качалкин Николай Иванович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Подсолнечник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С.Барановка, с.Давыдовка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1 июня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 июня 2020г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Гербициды, 3 класс опасности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«Агро-Инвест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Новоспасский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Ячмень, горчица,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С.Новая Лава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Новоспасский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1 июня по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30 июня 2020 г с 20.00 до 06.00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Наземное опрыскивание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Тризлак, Аминопик, Фатрит, Бифас, Комаро, Гринго, Альтосупер, Эфория Евро-лайтнинг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Новомалыклинский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«НИВА»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0,3- 3 км на юго-восток от с. Старая Бесовка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08.06.-11.06.2020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миура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«Восток»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Ячмень 7000 м. от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Верхняя Якушка на северо-восток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08-09.06.2020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Камаро, Альто Супер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Яр. пшеница- 2000 м. от р.п. Новая Малыкла на восток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Ассолюта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Подсолнечник - 1500 м. от р.п. Новая Малыкла на северо-восток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09.06.2020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Гранд Плюс, Зеллек Супер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Подсолнечник -6000 м. от с. Верхняя Якушка на север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10.06.2020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Тарга Супер, Зелек Супер</w:t>
            </w:r>
            <w:bookmarkStart w:id="0" w:name="_GoBack"/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bookmarkEnd w:id="0"/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Яр. пшеница- 7000 м. от с. Верхняя Якушка на восток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10.06.2020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Камаро, Оцелот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Оз. пшеница- 7000 м. от с. Верхняя Якушка на восток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11-12.06.2020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Протазокс, Декстер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Оз. пшеница- 4000 м. от с. Верхняя Якушка на северо-восток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11-12.06.2020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Альто Супер, Эфория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Оз. пшеница- 2000 м. от с. Верхняя Якушка на север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13-16.06.2020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Венто, Декстер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Рапс 1500 м. от с. Верхняя Якушка на север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56"/>
              <w:contextualSpacing w:val="true"/>
              <w:jc w:val="center"/>
              <w:spacing w:lineRule="auto" w:line="240" w:after="0" w:afterAutospacing="0" w:before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Борей Нео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42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Радищевский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Агрофирма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«Дворянская»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р.п. Радищево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Новая Дмитриевка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Рязановка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Воскресеновка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Софьино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Мордовская Карагужа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Нижняя Маза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.06-11.06.2020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инсектицид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гербицид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«Агроинвест»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КФХ Бирюков К.Ю.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continue"/>
            <w:textDirection w:val="lrTb"/>
            <w:noWrap w:val="false"/>
          </w:tcPr>
          <w:p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«Агро-Инвест»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п. Октябрьский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Верхняя Маза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Нижняя Маза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п. Гремячий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Дмитриевка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01.06-30.06.2020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евролайтинг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евролайтинг+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борей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альто супер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КФХ Сафаров М.Ф.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п. Кубра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п. Вишневый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.06-11.06.2020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атрикс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кальен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айкон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гермес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СПК «Красная Звезда»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Адоевщина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Поле № II П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Поле № IV-V К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05-20.06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05-20.06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Авиационная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Авиационная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Октапон экстра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Октапон экстра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«Волга-Агро»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Вязовка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01.06-20.06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framePr w:hSpace="180" w:wrap="around" w:vAnchor="text" w:hAnchor="margin" w:y="59"/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прима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Старомайнский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Викинг-Агро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Краснореченское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05 июня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- 28.06.2020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СПК им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.Ч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апаева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Краснореченское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В районе: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адовка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с.Красная Река,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с.Новиковка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сашное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Помряскино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05 июня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–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июня 2020г.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Премьера,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Батер-Макс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Конфибой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Агронива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Матвеевское сельское поселение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Ячмень, яровая пшеница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01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10 июня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2020г.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2.4-Д  кислота альфа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цинерметрин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бенуронмитил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Агро-Люкс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сельское поселение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яровая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пшеница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05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июня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-12.05.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у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100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Агротех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Прибрежненское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расположены между р.п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тарая Майна и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с,прибрежное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мая – 30.09.2020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Инспектициды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ологреевка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27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.05.2020-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есное Никольское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5.05.2020-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тарое 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Рождественно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5.05.2020-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Сантерра-Агро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с. Большая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Кандала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27.05.2020-15.06.2020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Гербицид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Камара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фунгицид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Альта-Супер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«Агрофирма Приволжье»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Жедяевское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сельское поселение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Озимая пшеница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д.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Аристовка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.Б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ерезовка,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д.Арчиловка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олостниковка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с.Волжское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03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.2020-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Злакосупе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Базон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Террастар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Ци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Альфэ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, КЭ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Сурский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«Воля»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Барышская Слобода,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Ждамирово, с. Студенец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-14.06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обработка яровых культур гербицидами против сорняков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Арбалет СЭ,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ГранПри ВДГ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«Чеботаевка»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Чеботаевка, с. Астрадамовка,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Архангельское, с. Сычевка,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д. Неплевка, с. Алейкино, с. Лебедевка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08.06. -14.06.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Балерина Микс +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Борей 100 гр.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СПК «Маяк»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Сара, с. Засарье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 -14.06.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Балерина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+ Мортира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АПК «Весенний сюжет»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Никитино, с. Кезьмино,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Выползово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 -14.06.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Балерина Микс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КХ «Пронин»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Ждамирово, с. Елховка, с. Чирково, с. Шеевщино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 -14.06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Гранд Стар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«Логос»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Лава, пос. Элита, с. Белый Ключ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 -14.06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Балерина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+ Мортира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Ф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Х «Россия»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 Княжуха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 -14.06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Балерина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+ Мортир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Ольдин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В.И.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Хмелевка,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Шеевщино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 -10.06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highlight w:val="yellow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Гранд Стар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Тереньгульский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ООО «Зерновая компания «Поволжье»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Красноборск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 1-3 км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подсолнечник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08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 10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06.202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 г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Новая Ерыкла 1,5-3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 км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ячмень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КФХ «Саликова»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Гавриловка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3 км, пары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(площадка Родничок)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08 – 11.06 2020 г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  <w:t xml:space="preserve">2,4 –Д эфир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Ульяновский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Тетюшское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Тетюшское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Загудаевка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п.Дружба, М.Горького, Елизаветино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М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агнум,  зерномакс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Красная Звезда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. Большие Ключищи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Прибылов,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Поникий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Ключ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Широкий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Ломы, Кувшиновка, Зеленая Роща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Болерина,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мартина,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борей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Меркурий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п. Красноармейский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Ивановка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З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ерномакс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СХП Волжанка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Ундоры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Крутояр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Балерина, Агростар, Самум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Хлебороб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п. Русская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Беденьга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Оргамакс, буцефал, айвенго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Заречное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Елшанка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Зерномакс, грамецид,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Айнетдинов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п. Тимирязевский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с.Н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-Урень, Н- Бирючевка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Статусмакс, селигор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Абушаев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Михайловка,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Бирючевка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Н-Урень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Статусмакс, селигер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Элита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Аненково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Пифопрогресс, каримакс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ФГБУ УНИИСХ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п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. Тимирязевский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Михайловка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Гранстар-про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ТД Симбирка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Полдамасово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Салмановка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Шумовка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Семеновка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ифопрогресс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каримакс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-З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ерномакс, грамецид, восторг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Агро-Трейд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Агро-С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Бирючев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Н-Урень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Гренадер, дисулям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18"/>
              </w:rPr>
              <w:t xml:space="preserve">ООО Симбирский  МД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1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Елшанка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Вышки, Салмановка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З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ерномакс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702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0"/>
              </w:rPr>
              <w:t xml:space="preserve">ООО Симб. бекон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18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 Зел. Роща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Сухая Дол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ина,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Мокрый Куст-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обработка ночью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З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ерномакс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ми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кс,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грамецид Тайгер,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инсектицид-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восторг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КФХ Белов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 с. Семеновка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 Шумовка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08.06.-12.06.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балерина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77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Цильнинский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Агрофирма «Большое Нагаткино»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Крестниково 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 Солнце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с. Большое Нагаткино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Цильнинский район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Бетанал 22;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Пантера;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Карибу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>
          <w:trHeight w:val="285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ИП, ГКФХ Еленкин Л.В.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обл, Цильнинский р-н, с.Кундюковка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Балерина, Ластик топ, Квикстеп, Трицепс, Хакер, Герольд, Миура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ИП, ГКФХ Маслов А.Н.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обл, Цильнинский р-н, с.Кундюковка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Бицепс гарант, Карибу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«Новая жизнь»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обл, Цильнинский р-н,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с.Покровское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Агритокс,КЭ, Беташанс,КЭ Галошанс, КЭ, Каришанс, ВДГ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СПК «Новотимерсянский»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обл, Цильнинский р-н,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с.Новые Тимерсяны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МИУРА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БИЦЕПС 22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 Глава КФХ Узиков П.А.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с.Нижние Тимерсяны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с.Средние Тимерсяны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с.Малое Нагаткино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п.Орловка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п.Клин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Комаро, Аксиал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ИП.ГКФХ Салюкин В.В.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с.Малое Нагаткино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п.Новая Воля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Бицепс 22, КЭ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Лонтрел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Камаро, СЭ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Аксиал 50, КЭ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Амистар Экстра, СК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Карате Зеон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Балерина Супер, СЭ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Пума Супер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Цунами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Бицепс гарант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ООО «Волга»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обл, Цильнинский р-н,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с.Елховое Озеро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Примавера -0,4 л/га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Арт Стар -0,010 г/га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Фетоспорин -1 л/га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Конфебой-0,100л/га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Богатый -1л/га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ГКФХ Данилин И.Г.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область, Цильнинский район,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с.Устеренка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Гранстар Про, Айкон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 Хамзин И.И., являющийся главой крестьянского (фермерского) хозяйства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Цильнинский район, с. Новые Тимерсяны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       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БЕТАНАЛ 22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ЛЕМУР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КАЛИБР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ПУМА100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ИП Сяпуков Е.Ф.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с.Малое Нагаткино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п.Новая Воля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д.Садки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Большое Нагаткино,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Средние Алгаши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С.Новое Никулино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Бицепс 22,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Балерина,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Гербитокс,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Ластик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Хакер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ФХ Краснов и К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обл, Цильнинский р-н,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д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.Степная Репьевка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Премьера +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Гранстар Про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АО СП «Колос»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Ульяновская обл, Цильнинский р-н, с.Мокрая Бугурна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3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Камаро, Пума-100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  <w:t xml:space="preserve">, Колосаль Про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  <w:t xml:space="preserve">Чердаклинский район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«Ульяновская Нива»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Октябрьское сельское поселение, п.Первомайский, п.Пятисотенный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с  08.06.2020 по 14.06.2020 г.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sz w:val="24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Бетанал Эксперт ОФ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«Золотой телёнок»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Калмаюрское сельское поселение, с. Уразгильдино, с.Андреевка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с 08.06.2020 –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Каратэ, Альта Супер, Камаро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СПК (колхоз) «Алга»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с.Абдуллово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С 08.06.2020- 14.06.2020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Альбит, Мегамикс, Барей, Колосаль Про, Карбамид, Балерина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 «Оптима-Агро»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с.Суходол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08.06.2020 -14.06.2020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Амистар, Восторг, Альбит.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«Симбирский колос»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с.Красный Яр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 –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Камаро, Каратэ, Пропомид.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КФХ «Макаров А.В.»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с.Крестово-Городище.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Альбит, Амистар Экстра.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КФХ Каюмов И.И.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п.Мирный,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р.п.Чердаклы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Арстар, Евродин.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 «Смена»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 р.п.Чердаклы, с.Поповка, п.Мирный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Прима, Брейк.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 «Терра»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    с.Бряндино, п.Октябрьский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Прима, Альта Супер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 «Петровское»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с.Петровское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 –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Альфа-циперметрин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СХПК «Новая жизнь»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р.п.Чердаклы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Аксиал, Камаро, Амистар экстра, Каратэ Зеон, Карбамид, Изагри фосфор, Изагри калий.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 «Симбирск-Агро»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с.Суходол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Карате зеон.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ИП «Махмутов Р.А.»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с.Поповка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08.06.2020- 13.05.2020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Амистар Экстра.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ООО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«КФХ Возрождение»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с.Малаевка, с.Озёрки, с.Тат.Калмаюр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08.06.2020 -14.06.2020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Ци-Альфа, Самум.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КФХ «Плаксин П.Н.»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 с. Старое Ерёмкино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08.06.2020- 14.06.2020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Цунами, Колосаль Про, Конт Гумат, Дуалголд, Триатлон +.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ИП «Нуруллов И.Р.»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с.Енганаево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08.06.2020 -14.06.2020 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наземная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Опричник СЭ, BATR Max.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2409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61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ИП «Халимов М.Х.»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452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Чердаклинский район, с.Енганаево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924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auto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  <w:t xml:space="preserve">08.06.2020-14.06.2020</w:t>
            </w:r>
            <w:r>
              <w:rPr>
                <w:rFonts w:ascii="PT Astra Serif" w:hAnsi="PT Astra Serif" w:cs="PT Astra Serif" w:eastAsia="PT Astra Serif"/>
                <w:b w:val="false"/>
                <w:color w:val="auto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2430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нземная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465" w:type="dxa"/>
            <w:vAlign w:val="top"/>
            <w:vMerge w:val="restart"/>
            <w:textDirection w:val="lrTb"/>
            <w:noWrap w:val="false"/>
          </w:tcPr>
          <w:p>
            <w:pPr>
              <w:pStyle w:val="56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b w:val="false"/>
                <w:color w:val="000000"/>
              </w:rPr>
            </w:pP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  <w:t xml:space="preserve">Опричник СЭ, BATR Max.</w:t>
            </w:r>
            <w:r>
              <w:rPr>
                <w:rFonts w:ascii="PT Astra Serif" w:hAnsi="PT Astra Serif" w:cs="PT Astra Serif" w:eastAsia="PT Astra Serif"/>
                <w:b w:val="false"/>
                <w:color w:val="000000"/>
                <w:sz w:val="24"/>
                <w:szCs w:val="24"/>
                <w:lang w:val="ru-RU" w:bidi="hi-IN" w:eastAsia="zh-CN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</w:rPr>
            </w:r>
          </w:p>
        </w:tc>
      </w:tr>
    </w:tbl>
    <w:p>
      <w:pPr>
        <w:contextualSpacing w:val="true"/>
        <w:spacing w:lineRule="auto" w:line="240" w:after="0" w:afterAutospacing="0"/>
        <w:rPr>
          <w:rFonts w:ascii="PT Astra Serif" w:hAnsi="PT Astra Serif" w:cs="PT Astra Serif" w:eastAsia="PT Astra Serif"/>
          <w:b w:val="false"/>
          <w:sz w:val="24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  <w:b w:val="false"/>
          <w:sz w:val="24"/>
        </w:rPr>
      </w:r>
    </w:p>
    <w:sectPr>
      <w:footnotePr/>
      <w:type w:val="nextPage"/>
      <w:pgSz w:w="16838" w:h="11906" w:orient="landscape"/>
      <w:pgMar w:top="1701" w:right="1134" w:bottom="85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703040505020204"/>
  </w:font>
  <w:font w:name="Tahoma">
    <w:panose1 w:val="020B0604030504040204"/>
  </w:font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6"/>
    <w:next w:val="556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6"/>
    <w:next w:val="556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6"/>
    <w:next w:val="556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6"/>
    <w:next w:val="556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6"/>
    <w:next w:val="556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6"/>
    <w:next w:val="55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6"/>
    <w:next w:val="556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6"/>
    <w:next w:val="556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6"/>
    <w:next w:val="556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link w:val="414"/>
    <w:uiPriority w:val="99"/>
  </w:style>
  <w:style w:type="table" w:styleId="416">
    <w:name w:val="Table Grid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</w:style>
  <w:style w:type="table" w:styleId="5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58" w:default="1">
    <w:name w:val="No List"/>
    <w:uiPriority w:val="99"/>
    <w:semiHidden/>
    <w:unhideWhenUsed/>
  </w:style>
  <w:style w:type="paragraph" w:styleId="559">
    <w:name w:val="No Spacing"/>
    <w:basedOn w:val="556"/>
    <w:qFormat/>
    <w:uiPriority w:val="1"/>
    <w:pPr>
      <w:spacing w:lineRule="auto" w:line="240" w:after="0"/>
    </w:pPr>
  </w:style>
  <w:style w:type="paragraph" w:styleId="560">
    <w:name w:val="List Paragraph"/>
    <w:basedOn w:val="556"/>
    <w:qFormat/>
    <w:uiPriority w:val="34"/>
    <w:pPr>
      <w:contextualSpacing w:val="true"/>
      <w:ind w:left="720"/>
    </w:pPr>
  </w:style>
  <w:style w:type="character" w:styleId="561" w:default="1">
    <w:name w:val="Default Paragraph Font"/>
    <w:uiPriority w:val="1"/>
    <w:semiHidden/>
    <w:unhideWhenUsed/>
  </w:style>
  <w:style w:type="paragraph" w:styleId="562">
    <w:name w:val="Содержимое таблицы"/>
    <w:basedOn w:val="556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3">
    <w:name w:val="Обычный"/>
    <w:rPr>
      <w:rFonts w:ascii="Liberation Serif" w:hAnsi="Liberation Serif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564">
    <w:name w:val="Сетка таблицы"/>
    <w:basedOn w:val="557"/>
    <w:next w:val="55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W w:w="0" w:type="auto"/>
      <w:tblInd w:w="0" w:type="dxa"/>
      <w:tblBorders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insideV w:val="none" w:color="000000" w:sz="4" w:space="0"/>
        <w:insideH w:val="non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dcterms:modified xsi:type="dcterms:W3CDTF">2020-06-05T12:10:21Z</dcterms:modified>
</cp:coreProperties>
</file>