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contextualSpacing w:val="true"/>
        <w:jc w:val="center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rFonts w:ascii="PT Astra Serif" w:hAnsi="PT Astra Serif" w:eastAsia="Times New Roman"/>
          <w:b/>
          <w:bCs/>
          <w:sz w:val="28"/>
          <w:szCs w:val="28"/>
        </w:rPr>
      </w:r>
      <w:r/>
    </w:p>
    <w:p>
      <w:pPr>
        <w:pStyle w:val="556"/>
        <w:contextualSpacing w:val="true"/>
        <w:jc w:val="right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25-31.05.2020</w:t>
      </w:r>
      <w:r/>
    </w:p>
    <w:tbl>
      <w:tblPr>
        <w:tblW w:w="0" w:type="auto"/>
        <w:tblInd w:w="142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09"/>
        <w:gridCol w:w="2461"/>
        <w:gridCol w:w="3452"/>
        <w:gridCol w:w="1924"/>
        <w:gridCol w:w="2430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61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с/х предприятия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Место расположения обрабатываемых полей и наименование с/х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Планируемая дата обработки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Вид обработки</w:t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(наземная, авиационная)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применяемого препарата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МО «Базарносызганский район»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Зерновая компания «Центральный регион» г.Воронеж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Папузинское сельское поселение с.Папузы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 25</w:t>
            </w:r>
            <w:r>
              <w:rPr>
                <w:rFonts w:ascii="PT Astra Serif" w:hAnsi="PT Astra Serif" w:cs="PT Astra Serif" w:eastAsia="PT Astra Serif"/>
              </w:rPr>
              <w:t xml:space="preserve">.05.20г. </w:t>
            </w:r>
            <w:r>
              <w:rPr>
                <w:rFonts w:ascii="PT Astra Serif" w:hAnsi="PT Astra Serif" w:cs="PT Astra Serif" w:eastAsia="PT Astra Serif"/>
              </w:rPr>
              <w:t xml:space="preserve">по 31</w:t>
            </w:r>
            <w:r>
              <w:rPr>
                <w:rFonts w:ascii="PT Astra Serif" w:hAnsi="PT Astra Serif" w:cs="PT Astra Serif" w:eastAsia="PT Astra Serif"/>
              </w:rPr>
              <w:t xml:space="preserve">.05.20г. – по погоде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«Барышский район»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«Агро-Инвест»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Г.Барыш, п,Красный Барыш, с.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. Поповая Мельница, с. Чувашская Решётка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п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. Степановка, с.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Алинкино, с.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Малая Хомутерь, с. Новый Дол,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с.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Старая Савадерка, п. Опытный,д. Новодольские Посёлки, Бар.Дурасовка,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р.п Старое Тимошкино,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с.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Заречное,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Смольково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, с. Живайкино, с. Кармалейка,д. Ульяновка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25.05.20-31.</w:t>
            </w:r>
            <w:r>
              <w:rPr>
                <w:rFonts w:ascii="PT Astra Serif" w:hAnsi="PT Astra Serif" w:cs="PT Astra Serif" w:eastAsia="PT Astra Serif"/>
              </w:rPr>
              <w:t xml:space="preserve">05.20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наземный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Инсектицид (полис)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, баковая смесь  (тризлак, зерномакс, атрикс)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, «Бифас» «Евролайтинг»,Евролайтинг+»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ИП Ходов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Старое Тимошкино, с. Калда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25</w:t>
            </w:r>
            <w:r>
              <w:rPr>
                <w:rFonts w:ascii="PT Astra Serif" w:hAnsi="PT Astra Serif" w:cs="PT Astra Serif" w:eastAsia="PT Astra Serif"/>
              </w:rPr>
              <w:t xml:space="preserve">.05</w:t>
            </w:r>
            <w:r>
              <w:rPr>
                <w:rFonts w:ascii="PT Astra Serif" w:hAnsi="PT Astra Serif" w:cs="PT Astra Serif" w:eastAsia="PT Astra Serif"/>
              </w:rPr>
              <w:t xml:space="preserve">.20</w:t>
            </w:r>
            <w:r>
              <w:rPr>
                <w:rFonts w:ascii="PT Astra Serif" w:hAnsi="PT Astra Serif" w:cs="PT Astra Serif" w:eastAsia="PT Astra Serif"/>
              </w:rPr>
              <w:t xml:space="preserve">-31.</w:t>
            </w:r>
            <w:r>
              <w:rPr>
                <w:rFonts w:ascii="PT Astra Serif" w:hAnsi="PT Astra Serif" w:cs="PT Astra Serif" w:eastAsia="PT Astra Serif"/>
              </w:rPr>
              <w:t xml:space="preserve">05</w:t>
            </w:r>
            <w:r>
              <w:rPr>
                <w:rFonts w:ascii="PT Astra Serif" w:hAnsi="PT Astra Serif" w:cs="PT Astra Serif" w:eastAsia="PT Astra Serif"/>
              </w:rPr>
              <w:t xml:space="preserve">.20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наземный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Гербицид (глидер 360)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«Инзенский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АгроВектор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за селом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Оськино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 26 по 30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ЛастикСупер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+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МАГНУМ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Рус-РесурсАгро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за селами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М.Шуватово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Б. Шуватово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.05.2020,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27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Карате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СТАТУСМАКС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7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ИП Парамонова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в районе села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Валгуссы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25.05.2020,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26.05.2020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Герб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КФХ Чапурин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в районе села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Тияпино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, села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Пятино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БАЛЕРИНА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«Кузоватовский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«АгроКонсалт»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Юго-запад с.Спешневка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25</w:t>
            </w:r>
            <w:r>
              <w:t xml:space="preserve">.05.2020-</w:t>
            </w:r>
            <w:r>
              <w:t xml:space="preserve">28</w:t>
            </w:r>
            <w:r>
              <w:t xml:space="preserve">.05.2020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Примадонна грант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«Майнский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«Полбино»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«Лава-1»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Уржумское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 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Анненково –Лесное,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Репьёвка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Ст.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«Козлов В.Д.»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Тагай,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ВолынщиковН.Н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с.Черикеево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Вязовка,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«Дубёнки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МО «Николаевский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ООО «СПП «Наша Родина»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Северо-Запад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с.Топорнино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 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31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Озимая пшеница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Юго-Запад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с.Поника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20 мая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31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 2020 года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Озимая пшеница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с.Рызлей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20 мая по 31 мая 2020 года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Озимая пшеница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с.Ахметлей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20 мая по 31 мая 2020 года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ООО «Агро-Инвест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Новоспасский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Ячмень, горчица,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С.Новая Лава,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по 30 мая 2020 года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с 20:00 до 06:00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сл. дня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Тризлак, Аминопик, Фатрит, Бифас, Комаро, Гринго, Альтосупер, Эфория.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Ячмень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с.Прасковьино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 по 26 мая 2020 года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с 20:00 до 06:00 сл. дня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ИП ГКФХ Амиров И.И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Пары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С.Тат.Сайман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31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Спрут экстра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ИП ГКФХ  Курмакаев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Наиль Усманович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Овес, 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.Поспеловка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.Тат.Сайман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, 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.Чув.Сайман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31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«Атрикс»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«Биатлон Плюс»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ООО «Капиталсервис»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Яровая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пшеница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п.Крутец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ООО «Гранд-Сервис»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Оз.пшеница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.Куроедово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(Николаевский район)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.Садовое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С.Новая Лава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(Новоспасский район)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  <w:t xml:space="preserve">С 10 мая по 1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«Биатлон Плюс»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  <w:t xml:space="preserve">«Борогум»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99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«Новомалыклинский район»</w:t>
            </w:r>
            <w:r/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«НИВА» </w:t>
            </w:r>
            <w:r/>
            <w:r/>
          </w:p>
          <w:p>
            <w:pPr>
              <w:pStyle w:val="562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0,5-3 км на юг от ст. Якушка 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22.05.-30.05.2020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</w:t>
            </w:r>
            <w:r>
              <w:rPr>
                <w:rFonts w:ascii="PT Astra Serif" w:hAnsi="PT Astra Serif"/>
                <w:color w:val="000000"/>
              </w:rPr>
              <w:t xml:space="preserve">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Балерина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Борей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«Радищевский район»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Агро-Инвест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с.Верхняя Маза, с.Дмитриевка с.Нижняя Маза, п.Гремячий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п. Октябрьский, 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Верхняя Маза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с </w:t>
            </w:r>
            <w:r>
              <w:rPr>
                <w:rFonts w:ascii="PT Astra Serif" w:hAnsi="PT Astra Serif"/>
                <w:color w:val="000000"/>
              </w:rPr>
              <w:t xml:space="preserve">25 </w:t>
            </w:r>
            <w:r>
              <w:rPr>
                <w:rFonts w:ascii="PT Astra Serif" w:hAnsi="PT Astra Serif"/>
                <w:color w:val="000000"/>
              </w:rPr>
              <w:t xml:space="preserve">мая по </w:t>
            </w:r>
            <w:r>
              <w:rPr>
                <w:rFonts w:ascii="PT Astra Serif" w:hAnsi="PT Astra Serif"/>
                <w:color w:val="000000"/>
              </w:rPr>
              <w:t xml:space="preserve">31</w:t>
            </w:r>
            <w:r>
              <w:rPr>
                <w:rFonts w:ascii="PT Astra Serif" w:hAnsi="PT Astra Serif"/>
                <w:color w:val="000000"/>
              </w:rPr>
              <w:t xml:space="preserve"> мая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/>
              </w:rPr>
              <w:t xml:space="preserve">01.06.2020 г.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  <w:t xml:space="preserve">Обработка посевов (1)</w:t>
            </w: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Тризлак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Бифас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Кредо</w:t>
            </w:r>
            <w:r>
              <w:rPr>
                <w:rFonts w:ascii="PT Astra Serif" w:hAnsi="PT Astra Serif"/>
                <w:color w:val="000000"/>
              </w:rPr>
            </w:r>
            <w:r/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инсектицид, фунгецид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4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«Старокулаткинский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ИП «</w:t>
            </w:r>
            <w:r>
              <w:t xml:space="preserve">Абушаев Ф.А.</w:t>
            </w:r>
            <w: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р.п Ст.Кулатка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25</w:t>
            </w:r>
            <w:r>
              <w:t xml:space="preserve">.05.2020 год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Флораз , Спецназ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44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Агрофирма «Кулатка»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с.Старый Мостяк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31</w:t>
            </w:r>
            <w:r>
              <w:t xml:space="preserve">.05.2020 год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Спецназ 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44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ИП «Ягудин Р.Б.»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с.Средняя Терешка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27</w:t>
            </w:r>
            <w:r>
              <w:t xml:space="preserve">.05.2020 год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Спезназ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ИП «Ягудин Р.А.»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Кирюшкино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25.05</w:t>
            </w:r>
            <w:r>
              <w:t xml:space="preserve">.2020 год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Балет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44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СПК «Бахтеевский»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с.Бахтеевка»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26.05.2020 год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Спезназ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42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</w:pPr>
            <w:r>
              <w:t xml:space="preserve">СПК «Вязовогайский»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с.Вязовый Гай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29.05.2020 год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Спезназ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«Старомайнский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АПК «Весенний Сюжет»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Кандалинское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-2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Гренарик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Викинг-Агро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Краснореченское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27 -31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СПК им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.Ч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апаева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Краснореченское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В районе: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адовка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с.Красная Река,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с.Новиковка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сашное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Помряскино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-2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Премьера,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Батер-Макс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Конфибой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Агронива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Матвеевское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Ячмень, яровая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10 июня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2.4-Д  кислота альфа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цинерметрин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бенуронмитил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Агро-Люкс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яровая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31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мая 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100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Агротех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расположены между р.п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тарая Майна и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с,прибрежное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мая – 30.09.2020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Инспектициды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«Агрофирма Приволжье»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Аристовка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д.Арчиловка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.В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олостниковка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с.Волжское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.05.2020-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Аминка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Фло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Террастар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Ци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Альфэ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ВОГ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КЭ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.Ж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едяевка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Рождественно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есное Никольское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ольшая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«Сурский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«Воля»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 Барышская Слобода,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 Ждамирово, с. Студенец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5 по 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обработка оз. пшеницы гербицидом против сорняков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Арбалет СЭ,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Гран При ВДГ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«Чеботаевка»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 Чеботаевка, с. Астрадамовка,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 Архангельское, с. Сычевка,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д. Неплевка, с. Алейкино, с. Лебедевка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по 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Балерина Микс +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Борей 100 гр.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СПК «Маяк»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 Сара, с. Засарье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по 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Балерина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+ Мортира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АПК «Весенний сюжет»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Никитино, с. Кезьмино,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 Выползово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по 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Балерина Микс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КХ «Пронин»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 Ждамирово, с. Елховка, с. Чирково, с. Шеевщино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по 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Гранд Стар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«Логос»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 Лава, пос. Элита, с. Белый Ключ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Балерина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+ Мортира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8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«Тереньгульский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ООО «Зерновая компания «Поволжье»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Байдулино 1,5-2 км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25-26 мая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Тереньга 2-2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,5 км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оз. пшеница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-27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с. Федькино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-2-3 км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оз. пшеница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28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31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КФХ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Саликова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с. Гавриловка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3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-5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км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(площадка «Сарым»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)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оз. пшеница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25-2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6 мая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«Ульяновский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Тетюшское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Тетюшское</w:t>
            </w:r>
            <w:r>
              <w:rPr>
                <w:rFonts w:ascii="Times New Roman" w:hAnsi="Times New Roman"/>
                <w:color w:val="000000"/>
              </w:rPr>
              <w:t xml:space="preserve">,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Загудаевка</w:t>
            </w:r>
            <w:r>
              <w:rPr>
                <w:rFonts w:ascii="Times New Roman" w:hAnsi="Times New Roman"/>
                <w:color w:val="000000"/>
              </w:rPr>
              <w:t xml:space="preserve">, п.Дружба, М.Горького, Елизаветино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</w:t>
            </w:r>
            <w:r>
              <w:rPr>
                <w:rFonts w:ascii="Times New Roman" w:hAnsi="Times New Roman"/>
              </w:rPr>
              <w:t xml:space="preserve">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</w:t>
            </w:r>
            <w:r>
              <w:rPr>
                <w:rFonts w:ascii="Times New Roman" w:hAnsi="Times New Roman"/>
                <w:color w:val="000000"/>
              </w:rPr>
              <w:t xml:space="preserve">агнум,  зерномакс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Красная Звезда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</w:t>
            </w:r>
            <w:r>
              <w:rPr>
                <w:rFonts w:ascii="Times New Roman" w:hAnsi="Times New Roman"/>
                <w:color w:val="000000"/>
              </w:rPr>
              <w:t xml:space="preserve">. Большие Ключищи</w:t>
            </w:r>
            <w:r>
              <w:rPr>
                <w:rFonts w:ascii="Times New Roman" w:hAnsi="Times New Roman"/>
                <w:color w:val="000000"/>
              </w:rPr>
              <w:t xml:space="preserve">,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Прибылов, </w:t>
            </w:r>
            <w:r>
              <w:rPr>
                <w:rFonts w:ascii="Times New Roman" w:hAnsi="Times New Roman"/>
                <w:color w:val="000000"/>
              </w:rPr>
              <w:t xml:space="preserve">Поникий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Ключ</w:t>
            </w:r>
            <w:r>
              <w:rPr>
                <w:rFonts w:ascii="Times New Roman" w:hAnsi="Times New Roman"/>
                <w:color w:val="000000"/>
              </w:rPr>
              <w:t xml:space="preserve"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п.</w:t>
            </w:r>
            <w:r>
              <w:rPr>
                <w:rFonts w:ascii="Times New Roman" w:hAnsi="Times New Roman"/>
                <w:color w:val="000000"/>
              </w:rPr>
              <w:t xml:space="preserve">Широкий</w:t>
            </w:r>
            <w:r>
              <w:rPr>
                <w:rFonts w:ascii="Times New Roman" w:hAnsi="Times New Roman"/>
                <w:color w:val="000000"/>
              </w:rPr>
              <w:t xml:space="preserve">, Ломы, Кувшиновка, Зеленая Роща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Болерина,</w:t>
            </w:r>
            <w:r>
              <w:rPr>
                <w:rFonts w:ascii="Times New Roman" w:hAnsi="Times New Roman"/>
                <w:color w:val="000000"/>
              </w:rPr>
              <w:t xml:space="preserve"> мартина,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борей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Меркурий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Красноармейский</w:t>
            </w:r>
            <w:r>
              <w:rPr>
                <w:rFonts w:ascii="Times New Roman" w:hAnsi="Times New Roman"/>
                <w:color w:val="000000"/>
              </w:rPr>
              <w:t xml:space="preserve">, Ивановка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</w:t>
            </w:r>
            <w:r>
              <w:rPr>
                <w:rFonts w:ascii="Times New Roman" w:hAnsi="Times New Roman"/>
                <w:color w:val="000000"/>
              </w:rPr>
              <w:t xml:space="preserve">ерномакс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СХП Волжанка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Ундоры</w:t>
            </w:r>
            <w:r>
              <w:rPr>
                <w:rFonts w:ascii="Times New Roman" w:hAnsi="Times New Roman"/>
              </w:rPr>
              <w:t xml:space="preserve">, Крутояр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с25.05.-31.05.2020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color w:val="000000"/>
              </w:rPr>
              <w:t xml:space="preserve">Балерина, Агростар, Самум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Хлебороб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Русская</w:t>
            </w:r>
            <w:r>
              <w:rPr>
                <w:rFonts w:ascii="Times New Roman" w:hAnsi="Times New Roman"/>
                <w:color w:val="000000"/>
              </w:rPr>
              <w:t xml:space="preserve"> Беденьга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Оргамакс, буцефал, айвенго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Заречное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Елшанка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Зерномакс, грамецид,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Айнетдинов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Тимирязевский</w:t>
            </w:r>
            <w:r>
              <w:rPr>
                <w:rFonts w:ascii="Times New Roman" w:hAnsi="Times New Roman"/>
              </w:rPr>
              <w:t xml:space="preserve">, с.Н</w:t>
            </w:r>
            <w:r>
              <w:rPr>
                <w:rFonts w:ascii="Times New Roman" w:hAnsi="Times New Roman"/>
              </w:rPr>
              <w:t xml:space="preserve">-Урень, Н- Бирючевка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Статусмакс, селигор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Абушаев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 xml:space="preserve">Михайловка,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Бирючевка</w:t>
            </w:r>
            <w:r>
              <w:rPr>
                <w:rFonts w:ascii="Times New Roman" w:hAnsi="Times New Roman"/>
              </w:rPr>
              <w:t xml:space="preserve">, Н-Урень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Статусмакс, селигер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Элита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с. Аненково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Пифопрогресс, каримакс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ФГБУ УНИИСХ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. Тимирязевский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с.</w:t>
            </w:r>
            <w:r>
              <w:rPr>
                <w:rFonts w:ascii="Times New Roman" w:hAnsi="Times New Roman"/>
              </w:rPr>
              <w:t xml:space="preserve">Михайловка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Гранстар-про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ТД Симбирка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</w:t>
            </w:r>
            <w:r>
              <w:rPr>
                <w:rFonts w:ascii="Times New Roman" w:hAnsi="Times New Roman"/>
              </w:rPr>
              <w:t xml:space="preserve"> Полдамасово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Салмановка</w:t>
            </w:r>
            <w:r>
              <w:rPr>
                <w:rFonts w:ascii="Times New Roman" w:hAnsi="Times New Roman"/>
              </w:rPr>
              <w:t xml:space="preserve">, Шумовка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</w:t>
            </w:r>
            <w:r>
              <w:rPr>
                <w:rFonts w:ascii="Times New Roman" w:hAnsi="Times New Roman"/>
                <w:color w:val="000000"/>
              </w:rPr>
              <w:t xml:space="preserve">П</w:t>
            </w:r>
            <w:r>
              <w:rPr>
                <w:rFonts w:ascii="Times New Roman" w:hAnsi="Times New Roman"/>
                <w:color w:val="000000"/>
              </w:rPr>
              <w:t xml:space="preserve">ифопрогресс</w:t>
            </w:r>
            <w:r>
              <w:rPr>
                <w:rFonts w:ascii="Times New Roman" w:hAnsi="Times New Roman"/>
                <w:color w:val="000000"/>
              </w:rPr>
              <w:t xml:space="preserve">, каримакс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</w:t>
            </w:r>
            <w:r>
              <w:rPr>
                <w:rFonts w:ascii="Times New Roman" w:hAnsi="Times New Roman"/>
              </w:rPr>
              <w:t xml:space="preserve">ерномакс, грамецид, восторг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Агро-Трейд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Агро-С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Бирючев</w:t>
            </w:r>
            <w:r>
              <w:rPr>
                <w:rFonts w:ascii="Times New Roman" w:hAnsi="Times New Roman"/>
              </w:rPr>
              <w:t xml:space="preserve">ка</w:t>
            </w:r>
            <w:r>
              <w:rPr>
                <w:rFonts w:ascii="Times New Roman" w:hAnsi="Times New Roman"/>
              </w:rPr>
              <w:t xml:space="preserve">, Н-Урень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Гренадер, дисулям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Симбирский  МД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Елшанка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</w:t>
            </w:r>
            <w:r>
              <w:rPr>
                <w:rFonts w:ascii="Times New Roman" w:hAnsi="Times New Roman"/>
                <w:color w:val="000000"/>
              </w:rPr>
              <w:t xml:space="preserve">ерномакс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Симб. бекон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Зел. Роща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Сухая Дол</w:t>
            </w:r>
            <w:r>
              <w:rPr>
                <w:rFonts w:ascii="Times New Roman" w:hAnsi="Times New Roman"/>
              </w:rPr>
              <w:t xml:space="preserve">ина,</w:t>
            </w:r>
            <w:r>
              <w:rPr>
                <w:rFonts w:ascii="Times New Roman" w:hAnsi="Times New Roman"/>
              </w:rPr>
              <w:t xml:space="preserve"> Мокрый Куст-</w:t>
            </w:r>
            <w:r>
              <w:rPr>
                <w:rFonts w:ascii="Times New Roman" w:hAnsi="Times New Roman"/>
              </w:rPr>
              <w:t xml:space="preserve"> обработка ночью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ерномакс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ми</w:t>
            </w:r>
            <w:r>
              <w:rPr>
                <w:rFonts w:ascii="Times New Roman" w:hAnsi="Times New Roman"/>
              </w:rPr>
              <w:t xml:space="preserve">кс,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грамецид Тайгер, </w:t>
            </w:r>
            <w:r>
              <w:rPr>
                <w:rFonts w:ascii="Times New Roman" w:hAnsi="Times New Roman"/>
              </w:rPr>
              <w:t xml:space="preserve">инсектицид-</w:t>
            </w:r>
            <w:r>
              <w:rPr>
                <w:rFonts w:ascii="Times New Roman" w:hAnsi="Times New Roman"/>
              </w:rPr>
              <w:t xml:space="preserve">восторг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Белов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Семеновка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25.05-31.05.2020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балерина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«Цильнинский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КФХ «Восток»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Ульяновская обл, Цильнинский р-н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с.Норовка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Дива, Шансюген, Колосаль про, Артикс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ИП, ГКФХ Еленкин Л.В.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Ульяновская обл, Цильнинский р-н,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ндюковка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Бицепс22, Миура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Ульяновская обл, Цильнинский р-н,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с.Кундюковка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Бицепс22, Миура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«Новая жизнь»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Ульяновская обл, Цильнинский р-н,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с.Покровское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с.Богородская Репьевка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Беташанс, Голошанс, Каришанс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СПК «Новотимерсянский»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Ульяновская обл, Цильнинский р-н,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с.Новые Тимерсяны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Бетанал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ИП Глава КФХ Узиков П.А.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 Нижние Тимерсяны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с.Средние Тимерсяны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с.Малое Нагаткино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Бетанал прогресс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Агрофирма «Большое Нагаткино»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Между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село Большое Нагаткино и поселок Солнце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Пропонит, Пума Супер,Камаро,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Рекс Плюс,Пикет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ИП.ГКФХ Салюкин В.В.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с.Малое Нагаткино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п.Новая Воля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Бицепс гарант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«Волга»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Ульяновская обл, Цильнинский р-н,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с.Елховое Озеро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Примавера -0,4 л/га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Агро Стар -0,010 г/га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Цезарь -0,100 л/га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Атлант -0,5л/га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left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ИП Сяпуков Е.Ф.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с.Мокраяобогурнинское поселение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Балерина, Борей, Ластик Топ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ООО «Ника»,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Ульяновская обл, Цильнинский р-н, Старые Алгаши с.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25.05.2020-31.05.2020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Трибун, СТС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«Чердаклинский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«Полбино»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«Лава-1»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Уржумское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 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Анненково –Лесное,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Репьёвка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Ст.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«Козлов В.Д.»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Тагай,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ВолынщиковН.Н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с.Черикеево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Вязовка,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«Дубёнки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Содержимое таблицы"/>
    <w:basedOn w:val="556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Обычн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4">
    <w:name w:val="Сетка таблицы"/>
    <w:basedOn w:val="557"/>
    <w:next w:val="55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2020-05-22T11:22:16Z</dcterms:modified>
</cp:coreProperties>
</file>