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A4" w:rsidRDefault="00F34FA4" w:rsidP="00F34FA4">
      <w:pPr>
        <w:pStyle w:val="ConsPlusNormal"/>
        <w:jc w:val="both"/>
      </w:pPr>
    </w:p>
    <w:p w:rsidR="00F34FA4" w:rsidRDefault="00F34FA4" w:rsidP="00F34FA4">
      <w:pPr>
        <w:pStyle w:val="ConsPlusNormal"/>
        <w:jc w:val="right"/>
        <w:outlineLvl w:val="1"/>
      </w:pPr>
      <w:r>
        <w:t xml:space="preserve">Приложение </w:t>
      </w:r>
      <w:r w:rsidR="00977749">
        <w:t>№4</w:t>
      </w:r>
    </w:p>
    <w:p w:rsidR="00F34FA4" w:rsidRDefault="00F34FA4" w:rsidP="00F34FA4">
      <w:pPr>
        <w:pStyle w:val="ConsPlusNormal"/>
        <w:jc w:val="both"/>
      </w:pPr>
      <w:bookmarkStart w:id="0" w:name="_GoBack"/>
      <w:bookmarkEnd w:id="0"/>
    </w:p>
    <w:p w:rsidR="00F34FA4" w:rsidRDefault="008270F2" w:rsidP="008270F2">
      <w:pPr>
        <w:pStyle w:val="ConsPlusTitle"/>
        <w:jc w:val="center"/>
      </w:pPr>
      <w:bookmarkStart w:id="1" w:name="P229"/>
      <w:bookmarkEnd w:id="1"/>
      <w:r>
        <w:t>ПРОГРАММА</w:t>
      </w:r>
    </w:p>
    <w:p w:rsidR="00F34FA4" w:rsidRDefault="00F34FA4" w:rsidP="00F34FA4">
      <w:pPr>
        <w:pStyle w:val="ConsPlusTitle"/>
        <w:jc w:val="center"/>
      </w:pPr>
      <w:r>
        <w:t>МЕРОПРИЯТИЙ, НАПРАВЛЕННЫХ НА РАЗВИТИЕ</w:t>
      </w:r>
    </w:p>
    <w:p w:rsidR="00F34FA4" w:rsidRDefault="00F34FA4" w:rsidP="00F34FA4">
      <w:pPr>
        <w:pStyle w:val="ConsPlusTitle"/>
        <w:jc w:val="center"/>
      </w:pPr>
      <w:r>
        <w:t>СЕЛЬСКОГО НАСЕЛЕННОГО ПУНКТА</w:t>
      </w:r>
    </w:p>
    <w:p w:rsidR="00F34FA4" w:rsidRDefault="00F34FA4" w:rsidP="00F34FA4">
      <w:pPr>
        <w:spacing w:after="1"/>
      </w:pPr>
    </w:p>
    <w:p w:rsidR="00F34FA4" w:rsidRDefault="00F34FA4" w:rsidP="00F34F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51"/>
        <w:gridCol w:w="4251"/>
      </w:tblGrid>
      <w:tr w:rsidR="00F34FA4" w:rsidTr="00A447C7">
        <w:tc>
          <w:tcPr>
            <w:tcW w:w="567" w:type="dxa"/>
            <w:vAlign w:val="center"/>
          </w:tcPr>
          <w:p w:rsidR="00F34FA4" w:rsidRDefault="00F34FA4" w:rsidP="00A447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1" w:type="dxa"/>
            <w:vAlign w:val="center"/>
          </w:tcPr>
          <w:p w:rsidR="00F34FA4" w:rsidRDefault="00F34FA4" w:rsidP="00A447C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251" w:type="dxa"/>
            <w:vAlign w:val="center"/>
          </w:tcPr>
          <w:p w:rsidR="00F34FA4" w:rsidRDefault="00F34FA4" w:rsidP="00A447C7">
            <w:pPr>
              <w:pStyle w:val="ConsPlusNormal"/>
              <w:jc w:val="center"/>
            </w:pPr>
            <w:r>
              <w:t>Показатель</w:t>
            </w:r>
          </w:p>
        </w:tc>
      </w:tr>
      <w:tr w:rsidR="00F34FA4" w:rsidTr="00A447C7">
        <w:tc>
          <w:tcPr>
            <w:tcW w:w="567" w:type="dxa"/>
            <w:vAlign w:val="center"/>
          </w:tcPr>
          <w:p w:rsidR="00F34FA4" w:rsidRDefault="00F34FA4" w:rsidP="00A447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1" w:type="dxa"/>
            <w:vAlign w:val="center"/>
          </w:tcPr>
          <w:p w:rsidR="00F34FA4" w:rsidRDefault="00F34FA4" w:rsidP="00A447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1" w:type="dxa"/>
            <w:vAlign w:val="center"/>
          </w:tcPr>
          <w:p w:rsidR="00F34FA4" w:rsidRPr="008270F2" w:rsidRDefault="00F34FA4" w:rsidP="00A447C7">
            <w:pPr>
              <w:pStyle w:val="ConsPlusNormal"/>
              <w:jc w:val="center"/>
              <w:rPr>
                <w:i/>
              </w:rPr>
            </w:pPr>
            <w:r w:rsidRPr="008270F2">
              <w:rPr>
                <w:i/>
              </w:rPr>
              <w:t>3</w:t>
            </w:r>
          </w:p>
        </w:tc>
      </w:tr>
      <w:tr w:rsidR="00F34FA4" w:rsidTr="00A447C7">
        <w:tc>
          <w:tcPr>
            <w:tcW w:w="9069" w:type="dxa"/>
            <w:gridSpan w:val="3"/>
          </w:tcPr>
          <w:p w:rsidR="00F34FA4" w:rsidRPr="008270F2" w:rsidRDefault="00F34FA4" w:rsidP="00A447C7">
            <w:pPr>
              <w:pStyle w:val="ConsPlusNormal"/>
              <w:jc w:val="center"/>
              <w:outlineLvl w:val="2"/>
              <w:rPr>
                <w:i/>
              </w:rPr>
            </w:pPr>
            <w:r w:rsidRPr="008270F2">
              <w:rPr>
                <w:i/>
              </w:rPr>
              <w:t>1. Аналитический блок</w:t>
            </w:r>
          </w:p>
        </w:tc>
      </w:tr>
      <w:tr w:rsidR="00F34FA4" w:rsidTr="00A447C7">
        <w:tc>
          <w:tcPr>
            <w:tcW w:w="567" w:type="dxa"/>
          </w:tcPr>
          <w:p w:rsidR="00F34FA4" w:rsidRDefault="00F34FA4" w:rsidP="00A447C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251" w:type="dxa"/>
          </w:tcPr>
          <w:p w:rsidR="00F34FA4" w:rsidRDefault="00F34FA4" w:rsidP="00A447C7">
            <w:pPr>
              <w:pStyle w:val="ConsPlusNormal"/>
              <w:jc w:val="both"/>
            </w:pPr>
            <w:r>
              <w:t>Выявление мест несанкционированного размещения твердых коммунальных отходов, расположенных на территории сельского населенного пункта</w:t>
            </w:r>
          </w:p>
        </w:tc>
        <w:tc>
          <w:tcPr>
            <w:tcW w:w="4251" w:type="dxa"/>
          </w:tcPr>
          <w:p w:rsidR="00F34FA4" w:rsidRPr="008270F2" w:rsidRDefault="00F34FA4" w:rsidP="00A447C7">
            <w:pPr>
              <w:pStyle w:val="ConsPlusNormal"/>
              <w:jc w:val="center"/>
              <w:rPr>
                <w:i/>
              </w:rPr>
            </w:pPr>
            <w:r w:rsidRPr="008270F2">
              <w:rPr>
                <w:i/>
              </w:rPr>
              <w:t>-</w:t>
            </w:r>
          </w:p>
        </w:tc>
      </w:tr>
      <w:tr w:rsidR="00F34FA4" w:rsidTr="00A447C7">
        <w:tc>
          <w:tcPr>
            <w:tcW w:w="567" w:type="dxa"/>
          </w:tcPr>
          <w:p w:rsidR="00F34FA4" w:rsidRDefault="00F34FA4" w:rsidP="00A447C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251" w:type="dxa"/>
          </w:tcPr>
          <w:p w:rsidR="00F34FA4" w:rsidRDefault="00F34FA4" w:rsidP="00A447C7">
            <w:pPr>
              <w:pStyle w:val="ConsPlusNormal"/>
              <w:jc w:val="both"/>
            </w:pPr>
            <w:r>
              <w:t>Выявление существующих инвестиционных площадок, расположенных на территории сельского населенного пункта, для организации производства</w:t>
            </w:r>
          </w:p>
        </w:tc>
        <w:tc>
          <w:tcPr>
            <w:tcW w:w="4251" w:type="dxa"/>
          </w:tcPr>
          <w:p w:rsidR="00F34FA4" w:rsidRPr="008270F2" w:rsidRDefault="00F34FA4" w:rsidP="00A447C7">
            <w:pPr>
              <w:pStyle w:val="ConsPlusNormal"/>
              <w:jc w:val="center"/>
              <w:rPr>
                <w:i/>
              </w:rPr>
            </w:pPr>
            <w:r w:rsidRPr="008270F2">
              <w:rPr>
                <w:i/>
              </w:rPr>
              <w:t>-</w:t>
            </w:r>
          </w:p>
        </w:tc>
      </w:tr>
      <w:tr w:rsidR="00F34FA4" w:rsidTr="00A447C7">
        <w:tc>
          <w:tcPr>
            <w:tcW w:w="9069" w:type="dxa"/>
            <w:gridSpan w:val="3"/>
          </w:tcPr>
          <w:p w:rsidR="00F34FA4" w:rsidRPr="008270F2" w:rsidRDefault="00F34FA4" w:rsidP="00A447C7">
            <w:pPr>
              <w:pStyle w:val="ConsPlusNormal"/>
              <w:jc w:val="center"/>
              <w:outlineLvl w:val="2"/>
              <w:rPr>
                <w:i/>
              </w:rPr>
            </w:pPr>
            <w:r w:rsidRPr="008270F2">
              <w:rPr>
                <w:i/>
              </w:rPr>
              <w:t>2. Социальный блок</w:t>
            </w:r>
          </w:p>
        </w:tc>
      </w:tr>
      <w:tr w:rsidR="00F34FA4" w:rsidTr="00A447C7">
        <w:tc>
          <w:tcPr>
            <w:tcW w:w="567" w:type="dxa"/>
          </w:tcPr>
          <w:p w:rsidR="00F34FA4" w:rsidRDefault="00F34FA4" w:rsidP="00A447C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251" w:type="dxa"/>
          </w:tcPr>
          <w:p w:rsidR="00F34FA4" w:rsidRDefault="00F34FA4" w:rsidP="00A447C7">
            <w:pPr>
              <w:pStyle w:val="ConsPlusNormal"/>
              <w:jc w:val="both"/>
            </w:pPr>
            <w:r>
              <w:t>Мероприятия по улучшению жилищных условий граждан, проживающих в сельском населенном пункте</w:t>
            </w:r>
          </w:p>
        </w:tc>
        <w:tc>
          <w:tcPr>
            <w:tcW w:w="4251" w:type="dxa"/>
          </w:tcPr>
          <w:p w:rsidR="00F34FA4" w:rsidRPr="008270F2" w:rsidRDefault="00F34FA4" w:rsidP="00A447C7">
            <w:pPr>
              <w:pStyle w:val="ConsPlusNormal"/>
              <w:jc w:val="both"/>
              <w:rPr>
                <w:i/>
              </w:rPr>
            </w:pPr>
            <w:r w:rsidRPr="008270F2">
              <w:rPr>
                <w:i/>
              </w:rPr>
              <w:t>Общая площадь жилых помещений, введенных в эксплуатацию (приобретенных жилых помещений), предоставленных гражданам, проживающим в сельском населенном пункте (тыс. кв. метров)</w:t>
            </w:r>
          </w:p>
        </w:tc>
      </w:tr>
      <w:tr w:rsidR="00F34FA4" w:rsidTr="00A447C7">
        <w:tc>
          <w:tcPr>
            <w:tcW w:w="567" w:type="dxa"/>
          </w:tcPr>
          <w:p w:rsidR="00F34FA4" w:rsidRDefault="00F34FA4" w:rsidP="00A447C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251" w:type="dxa"/>
          </w:tcPr>
          <w:p w:rsidR="00F34FA4" w:rsidRDefault="00F34FA4" w:rsidP="00A447C7">
            <w:pPr>
              <w:pStyle w:val="ConsPlusNormal"/>
              <w:jc w:val="both"/>
            </w:pPr>
            <w:r>
              <w:t>Мероприятия, предусматривающие развитие газификации в сельском населенном пункте</w:t>
            </w:r>
          </w:p>
        </w:tc>
        <w:tc>
          <w:tcPr>
            <w:tcW w:w="4251" w:type="dxa"/>
          </w:tcPr>
          <w:p w:rsidR="00F34FA4" w:rsidRPr="008270F2" w:rsidRDefault="00F34FA4" w:rsidP="00A447C7">
            <w:pPr>
              <w:pStyle w:val="ConsPlusNormal"/>
              <w:jc w:val="both"/>
              <w:rPr>
                <w:i/>
              </w:rPr>
            </w:pPr>
            <w:r w:rsidRPr="008270F2">
              <w:rPr>
                <w:i/>
              </w:rPr>
              <w:t>Протяженность введенных в эксплуатацию распределительных газовых сетей (километров)</w:t>
            </w:r>
          </w:p>
        </w:tc>
      </w:tr>
      <w:tr w:rsidR="00F34FA4" w:rsidTr="00A447C7">
        <w:tc>
          <w:tcPr>
            <w:tcW w:w="567" w:type="dxa"/>
          </w:tcPr>
          <w:p w:rsidR="00F34FA4" w:rsidRDefault="00F34FA4" w:rsidP="00A447C7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251" w:type="dxa"/>
          </w:tcPr>
          <w:p w:rsidR="00F34FA4" w:rsidRDefault="00F34FA4" w:rsidP="00A447C7">
            <w:pPr>
              <w:pStyle w:val="ConsPlusNormal"/>
              <w:jc w:val="both"/>
            </w:pPr>
            <w:r>
              <w:t xml:space="preserve">Мероприятия, предусматривающие развитие водоснабжения в сельском </w:t>
            </w:r>
            <w:r>
              <w:lastRenderedPageBreak/>
              <w:t>населенном пункте</w:t>
            </w:r>
          </w:p>
        </w:tc>
        <w:tc>
          <w:tcPr>
            <w:tcW w:w="4251" w:type="dxa"/>
          </w:tcPr>
          <w:p w:rsidR="00F34FA4" w:rsidRPr="008270F2" w:rsidRDefault="00F34FA4" w:rsidP="00A447C7">
            <w:pPr>
              <w:pStyle w:val="ConsPlusNormal"/>
              <w:jc w:val="both"/>
              <w:rPr>
                <w:i/>
              </w:rPr>
            </w:pPr>
            <w:r w:rsidRPr="008270F2">
              <w:rPr>
                <w:i/>
              </w:rPr>
              <w:lastRenderedPageBreak/>
              <w:t>Протяженность введенных в эксплуатацию локальных водопроводов (километров)</w:t>
            </w:r>
          </w:p>
        </w:tc>
      </w:tr>
      <w:tr w:rsidR="00F34FA4" w:rsidTr="00A447C7">
        <w:tc>
          <w:tcPr>
            <w:tcW w:w="567" w:type="dxa"/>
          </w:tcPr>
          <w:p w:rsidR="00F34FA4" w:rsidRDefault="00F34FA4" w:rsidP="00A447C7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4251" w:type="dxa"/>
          </w:tcPr>
          <w:p w:rsidR="00F34FA4" w:rsidRDefault="00F34FA4" w:rsidP="00A447C7">
            <w:pPr>
              <w:pStyle w:val="ConsPlusNormal"/>
              <w:jc w:val="both"/>
            </w:pPr>
            <w:r>
              <w:t>Мероприятия, предусматривающие строительство зданий, строений, сооружений или помещений, предназначенных для размещения фельдшерско-акушерских пунктов и (или) офисов врачей общей практики в сельском населенном пункте</w:t>
            </w:r>
          </w:p>
        </w:tc>
        <w:tc>
          <w:tcPr>
            <w:tcW w:w="4251" w:type="dxa"/>
          </w:tcPr>
          <w:p w:rsidR="00F34FA4" w:rsidRPr="008270F2" w:rsidRDefault="00F34FA4" w:rsidP="00A447C7">
            <w:pPr>
              <w:pStyle w:val="ConsPlusNormal"/>
              <w:jc w:val="both"/>
              <w:rPr>
                <w:i/>
              </w:rPr>
            </w:pPr>
            <w:r w:rsidRPr="008270F2">
              <w:rPr>
                <w:i/>
              </w:rPr>
              <w:t>Общее количество введенных в эксплуатацию зданий, строений, сооружений или помещений, предназначенных для размещения фельдшерско-акушерских пунктов и (или) офисов врача общей практики (единиц)</w:t>
            </w:r>
          </w:p>
        </w:tc>
      </w:tr>
      <w:tr w:rsidR="00F34FA4" w:rsidTr="00A447C7">
        <w:tc>
          <w:tcPr>
            <w:tcW w:w="567" w:type="dxa"/>
          </w:tcPr>
          <w:p w:rsidR="00F34FA4" w:rsidRDefault="00F34FA4" w:rsidP="00A447C7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251" w:type="dxa"/>
          </w:tcPr>
          <w:p w:rsidR="00F34FA4" w:rsidRDefault="00F34FA4" w:rsidP="00A447C7">
            <w:pPr>
              <w:pStyle w:val="ConsPlusNormal"/>
              <w:jc w:val="both"/>
            </w:pPr>
            <w:r>
              <w:t>Мероприятия, предусматривающие развитие сети автомобильных дорог, ведущих к общественно значимым объектам сельского населенного пункта, объектам производства и переработки сельскохозяйственной продукции</w:t>
            </w:r>
          </w:p>
        </w:tc>
        <w:tc>
          <w:tcPr>
            <w:tcW w:w="4251" w:type="dxa"/>
          </w:tcPr>
          <w:p w:rsidR="00F34FA4" w:rsidRPr="008270F2" w:rsidRDefault="00F34FA4" w:rsidP="00A447C7">
            <w:pPr>
              <w:pStyle w:val="ConsPlusNormal"/>
              <w:jc w:val="both"/>
              <w:rPr>
                <w:i/>
              </w:rPr>
            </w:pPr>
            <w:r w:rsidRPr="008270F2">
              <w:rPr>
                <w:i/>
              </w:rPr>
              <w:t>Протяженность введенных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(километров)</w:t>
            </w:r>
          </w:p>
        </w:tc>
      </w:tr>
      <w:tr w:rsidR="00F34FA4" w:rsidTr="00A447C7">
        <w:tc>
          <w:tcPr>
            <w:tcW w:w="567" w:type="dxa"/>
          </w:tcPr>
          <w:p w:rsidR="00F34FA4" w:rsidRDefault="00F34FA4" w:rsidP="00A447C7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251" w:type="dxa"/>
          </w:tcPr>
          <w:p w:rsidR="00F34FA4" w:rsidRDefault="00F34FA4" w:rsidP="00A447C7">
            <w:pPr>
              <w:pStyle w:val="ConsPlusNormal"/>
              <w:jc w:val="both"/>
            </w:pPr>
            <w:r>
              <w:t>Мероприятия, предусматривающие строительство или реконструкцию зданий, строений, сооружений или помещений, предназначенных для размещения учреждений культурно-досугового типа, в сельском населенном пункте</w:t>
            </w:r>
          </w:p>
        </w:tc>
        <w:tc>
          <w:tcPr>
            <w:tcW w:w="4251" w:type="dxa"/>
          </w:tcPr>
          <w:p w:rsidR="00F34FA4" w:rsidRPr="008270F2" w:rsidRDefault="00F34FA4" w:rsidP="00A447C7">
            <w:pPr>
              <w:pStyle w:val="ConsPlusNormal"/>
              <w:jc w:val="both"/>
              <w:rPr>
                <w:i/>
              </w:rPr>
            </w:pPr>
            <w:r w:rsidRPr="008270F2">
              <w:rPr>
                <w:i/>
              </w:rPr>
              <w:t>Количество введенных в эксплуатацию зданий, строений, сооружений или помещений, предназначенных для размещения учреждений культурно-досугового типа (единиц)</w:t>
            </w:r>
          </w:p>
        </w:tc>
      </w:tr>
      <w:tr w:rsidR="00F34FA4" w:rsidTr="00A447C7">
        <w:tc>
          <w:tcPr>
            <w:tcW w:w="567" w:type="dxa"/>
          </w:tcPr>
          <w:p w:rsidR="00F34FA4" w:rsidRDefault="00F34FA4" w:rsidP="00A447C7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251" w:type="dxa"/>
          </w:tcPr>
          <w:p w:rsidR="00F34FA4" w:rsidRDefault="00F34FA4" w:rsidP="00A447C7">
            <w:pPr>
              <w:pStyle w:val="ConsPlusNormal"/>
              <w:jc w:val="both"/>
            </w:pPr>
            <w:r>
              <w:t>Мероприятия, предусматривающие развитие сети плоскостных сооружений в сельском населенном пункте</w:t>
            </w:r>
          </w:p>
        </w:tc>
        <w:tc>
          <w:tcPr>
            <w:tcW w:w="4251" w:type="dxa"/>
          </w:tcPr>
          <w:p w:rsidR="00F34FA4" w:rsidRPr="008270F2" w:rsidRDefault="00F34FA4" w:rsidP="00A447C7">
            <w:pPr>
              <w:pStyle w:val="ConsPlusNormal"/>
              <w:jc w:val="both"/>
              <w:rPr>
                <w:i/>
              </w:rPr>
            </w:pPr>
            <w:r w:rsidRPr="008270F2">
              <w:rPr>
                <w:i/>
              </w:rPr>
              <w:t>Количество введенных в эксплуатацию плоскостных спортивных сооружений (единиц)</w:t>
            </w:r>
          </w:p>
        </w:tc>
      </w:tr>
      <w:tr w:rsidR="00F34FA4" w:rsidTr="00A447C7">
        <w:tc>
          <w:tcPr>
            <w:tcW w:w="567" w:type="dxa"/>
          </w:tcPr>
          <w:p w:rsidR="00F34FA4" w:rsidRDefault="00F34FA4" w:rsidP="00A447C7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251" w:type="dxa"/>
          </w:tcPr>
          <w:p w:rsidR="00F34FA4" w:rsidRDefault="00F34FA4" w:rsidP="00A447C7">
            <w:pPr>
              <w:pStyle w:val="ConsPlusNormal"/>
              <w:jc w:val="both"/>
            </w:pPr>
            <w:r>
              <w:t xml:space="preserve">Мероприятия, предусматривающие строительство или реконструкцию зданий, строений, сооружений или помещений, </w:t>
            </w:r>
            <w:r>
              <w:lastRenderedPageBreak/>
              <w:t>предназначенных для размещения общеобразовательных организаций, в сельском населенном пункте</w:t>
            </w:r>
          </w:p>
        </w:tc>
        <w:tc>
          <w:tcPr>
            <w:tcW w:w="4251" w:type="dxa"/>
          </w:tcPr>
          <w:p w:rsidR="00F34FA4" w:rsidRPr="008270F2" w:rsidRDefault="00F34FA4" w:rsidP="00A447C7">
            <w:pPr>
              <w:pStyle w:val="ConsPlusNormal"/>
              <w:jc w:val="both"/>
              <w:rPr>
                <w:i/>
              </w:rPr>
            </w:pPr>
            <w:r w:rsidRPr="008270F2">
              <w:rPr>
                <w:i/>
              </w:rPr>
              <w:lastRenderedPageBreak/>
              <w:t xml:space="preserve">Количество введенных в эксплуатацию зданий, строений, сооружений или помещений, предназначенных для размещения общеобразовательных </w:t>
            </w:r>
            <w:r w:rsidRPr="008270F2">
              <w:rPr>
                <w:i/>
              </w:rPr>
              <w:lastRenderedPageBreak/>
              <w:t>организаций (единиц)</w:t>
            </w:r>
          </w:p>
        </w:tc>
      </w:tr>
      <w:tr w:rsidR="00F34FA4" w:rsidTr="00A447C7">
        <w:tc>
          <w:tcPr>
            <w:tcW w:w="567" w:type="dxa"/>
          </w:tcPr>
          <w:p w:rsidR="00F34FA4" w:rsidRDefault="00F34FA4" w:rsidP="00A447C7">
            <w:pPr>
              <w:pStyle w:val="ConsPlusNormal"/>
              <w:jc w:val="center"/>
            </w:pPr>
            <w:r>
              <w:lastRenderedPageBreak/>
              <w:t>2.9.</w:t>
            </w:r>
          </w:p>
        </w:tc>
        <w:tc>
          <w:tcPr>
            <w:tcW w:w="4251" w:type="dxa"/>
          </w:tcPr>
          <w:p w:rsidR="00F34FA4" w:rsidRDefault="00F34FA4" w:rsidP="00A447C7">
            <w:pPr>
              <w:pStyle w:val="ConsPlusNormal"/>
              <w:jc w:val="both"/>
            </w:pPr>
            <w:r>
              <w:t>Мероприятия, направленные на поддержку местных инициатив граждан, проживающих в сельском населенном пункте</w:t>
            </w:r>
          </w:p>
        </w:tc>
        <w:tc>
          <w:tcPr>
            <w:tcW w:w="4251" w:type="dxa"/>
          </w:tcPr>
          <w:p w:rsidR="00F34FA4" w:rsidRPr="008270F2" w:rsidRDefault="00F34FA4" w:rsidP="00A447C7">
            <w:pPr>
              <w:pStyle w:val="ConsPlusNormal"/>
              <w:jc w:val="both"/>
              <w:rPr>
                <w:i/>
              </w:rPr>
            </w:pPr>
            <w:r w:rsidRPr="008270F2">
              <w:rPr>
                <w:i/>
              </w:rPr>
              <w:t>Количество реализованных проектов местных инициатив граждан, проживающих в сельском населенном пункте (единиц)</w:t>
            </w:r>
          </w:p>
        </w:tc>
      </w:tr>
    </w:tbl>
    <w:p w:rsidR="005C0547" w:rsidRDefault="005C0547"/>
    <w:sectPr w:rsidR="005C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70"/>
    <w:rsid w:val="003E0770"/>
    <w:rsid w:val="005C0547"/>
    <w:rsid w:val="008270F2"/>
    <w:rsid w:val="00977749"/>
    <w:rsid w:val="00F3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A4"/>
    <w:pPr>
      <w:suppressAutoHyphens/>
      <w:spacing w:after="0" w:line="240" w:lineRule="auto"/>
    </w:pPr>
    <w:rPr>
      <w:rFonts w:ascii="PT Astra Serif" w:eastAsia="Times New Roman" w:hAnsi="PT Astra Serif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FA4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paragraph" w:customStyle="1" w:styleId="ConsPlusTitle">
    <w:name w:val="ConsPlusTitle"/>
    <w:rsid w:val="00F34FA4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7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74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A4"/>
    <w:pPr>
      <w:suppressAutoHyphens/>
      <w:spacing w:after="0" w:line="240" w:lineRule="auto"/>
    </w:pPr>
    <w:rPr>
      <w:rFonts w:ascii="PT Astra Serif" w:eastAsia="Times New Roman" w:hAnsi="PT Astra Serif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FA4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paragraph" w:customStyle="1" w:styleId="ConsPlusTitle">
    <w:name w:val="ConsPlusTitle"/>
    <w:rsid w:val="00F34FA4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7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74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MSX ULN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2021-10-11T11:23:00Z</cp:lastPrinted>
  <dcterms:created xsi:type="dcterms:W3CDTF">2021-10-05T06:49:00Z</dcterms:created>
  <dcterms:modified xsi:type="dcterms:W3CDTF">2021-10-11T11:24:00Z</dcterms:modified>
</cp:coreProperties>
</file>